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1C" w:rsidRPr="00247A1C" w:rsidRDefault="00247A1C">
      <w:pPr>
        <w:rPr>
          <w:rFonts w:ascii="Times New Roman" w:hAnsi="Times New Roman" w:cs="Times New Roman"/>
          <w:b/>
          <w:sz w:val="32"/>
          <w:szCs w:val="32"/>
          <w:lang w:val="en-US"/>
        </w:rPr>
      </w:pPr>
      <w:r w:rsidRPr="00792C2B">
        <w:rPr>
          <w:rFonts w:ascii="Times New Roman" w:hAnsi="Times New Roman" w:cs="Times New Roman"/>
          <w:b/>
          <w:sz w:val="32"/>
          <w:szCs w:val="32"/>
          <w:lang w:val="en-US"/>
        </w:rPr>
        <w:t>GSH-depletion by rubber oligomer C13H2</w:t>
      </w:r>
      <w:r>
        <w:rPr>
          <w:rFonts w:ascii="Times New Roman" w:hAnsi="Times New Roman"/>
          <w:b/>
          <w:sz w:val="32"/>
          <w:szCs w:val="32"/>
          <w:lang w:val="en-US"/>
        </w:rPr>
        <w:t>3</w:t>
      </w:r>
      <w:r w:rsidRPr="00792C2B">
        <w:rPr>
          <w:rFonts w:ascii="Times New Roman" w:hAnsi="Times New Roman" w:cs="Times New Roman"/>
          <w:b/>
          <w:sz w:val="32"/>
          <w:szCs w:val="32"/>
          <w:lang w:val="en-US"/>
        </w:rPr>
        <w:t>Br</w:t>
      </w:r>
      <w:r>
        <w:rPr>
          <w:b/>
          <w:noProof/>
          <w:lang w:eastAsia="de-DE"/>
        </w:rPr>
        <w:drawing>
          <wp:anchor distT="0" distB="0" distL="114300" distR="114300" simplePos="0" relativeHeight="251658240" behindDoc="0" locked="0" layoutInCell="1" allowOverlap="1">
            <wp:simplePos x="0" y="0"/>
            <wp:positionH relativeFrom="column">
              <wp:posOffset>4142105</wp:posOffset>
            </wp:positionH>
            <wp:positionV relativeFrom="paragraph">
              <wp:posOffset>-852805</wp:posOffset>
            </wp:positionV>
            <wp:extent cx="2439035" cy="1317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439035" cy="1317625"/>
                    </a:xfrm>
                    <a:prstGeom prst="rect">
                      <a:avLst/>
                    </a:prstGeom>
                    <a:solidFill>
                      <a:srgbClr val="FFFFFF"/>
                    </a:solidFill>
                    <a:ln w="9525">
                      <a:noFill/>
                      <a:miter lim="800000"/>
                      <a:headEnd/>
                      <a:tailEnd/>
                    </a:ln>
                  </pic:spPr>
                </pic:pic>
              </a:graphicData>
            </a:graphic>
          </wp:anchor>
        </w:drawing>
      </w:r>
    </w:p>
    <w:p w:rsidR="00492F3B" w:rsidRPr="00492F3B" w:rsidRDefault="00492F3B">
      <w:pPr>
        <w:rPr>
          <w:b/>
          <w:lang w:val="en-US"/>
        </w:rPr>
      </w:pPr>
      <w:r w:rsidRPr="00492F3B">
        <w:rPr>
          <w:b/>
          <w:lang w:val="en-US"/>
        </w:rPr>
        <w:t>Introduction:</w:t>
      </w:r>
    </w:p>
    <w:p w:rsidR="000666AB" w:rsidRDefault="000666AB" w:rsidP="000666AB">
      <w:pPr>
        <w:rPr>
          <w:lang w:val="en-US"/>
        </w:rPr>
      </w:pPr>
      <w:r>
        <w:rPr>
          <w:lang w:val="en-US"/>
        </w:rPr>
        <w:t xml:space="preserve">According to the </w:t>
      </w:r>
      <w:r w:rsidR="00BB6277">
        <w:rPr>
          <w:lang w:val="en-US"/>
        </w:rPr>
        <w:t xml:space="preserve">information, given in the </w:t>
      </w:r>
      <w:r>
        <w:rPr>
          <w:lang w:val="en-US"/>
        </w:rPr>
        <w:t>O</w:t>
      </w:r>
      <w:r w:rsidR="00C42493">
        <w:rPr>
          <w:lang w:val="en-US"/>
        </w:rPr>
        <w:t>ECD toolbox, the initial event (adverse outcome pathway, AOP)f</w:t>
      </w:r>
      <w:r>
        <w:rPr>
          <w:lang w:val="en-US"/>
        </w:rPr>
        <w:t xml:space="preserve">or skin sensitizing is protein binding Three in-chemico assays are suggested to assess sensitizing potential, </w:t>
      </w:r>
      <w:r w:rsidR="00ED21DD">
        <w:rPr>
          <w:lang w:val="en-US"/>
        </w:rPr>
        <w:t xml:space="preserve">Glutathione (GSH) </w:t>
      </w:r>
      <w:r>
        <w:rPr>
          <w:lang w:val="en-US"/>
        </w:rPr>
        <w:t>depletion</w:t>
      </w:r>
      <w:r w:rsidR="00ED21DD">
        <w:rPr>
          <w:lang w:val="en-US"/>
        </w:rPr>
        <w:t xml:space="preserve"> assay, </w:t>
      </w:r>
      <w:r>
        <w:rPr>
          <w:lang w:val="en-US"/>
        </w:rPr>
        <w:t>adduct formation</w:t>
      </w:r>
      <w:r w:rsidR="00ED21DD">
        <w:rPr>
          <w:lang w:val="en-US"/>
        </w:rPr>
        <w:t xml:space="preserve"> with LC-MS</w:t>
      </w:r>
      <w:r>
        <w:rPr>
          <w:lang w:val="en-US"/>
        </w:rPr>
        <w:t xml:space="preserve"> and DPRA assay (direct peptide reactivity assay,</w:t>
      </w:r>
      <w:r w:rsidR="00ED21DD">
        <w:rPr>
          <w:lang w:val="en-US"/>
        </w:rPr>
        <w:t>Cys and Lys reactivity</w:t>
      </w:r>
      <w:r>
        <w:rPr>
          <w:lang w:val="en-US"/>
        </w:rPr>
        <w:t>)</w:t>
      </w:r>
      <w:r w:rsidR="00ED21DD">
        <w:rPr>
          <w:lang w:val="en-US"/>
        </w:rPr>
        <w:t>.</w:t>
      </w:r>
    </w:p>
    <w:p w:rsidR="00492F3B" w:rsidRDefault="00554E4C">
      <w:pPr>
        <w:rPr>
          <w:lang w:val="en-US"/>
        </w:rPr>
      </w:pPr>
      <w:r>
        <w:rPr>
          <w:lang w:val="en-US"/>
        </w:rPr>
        <w:t>Within this project, GSH depletion and GSH adduct formation were investigated.</w:t>
      </w:r>
    </w:p>
    <w:p w:rsidR="005F01D5" w:rsidRPr="00492F3B" w:rsidRDefault="00492F3B">
      <w:pPr>
        <w:rPr>
          <w:b/>
          <w:lang w:val="en-US"/>
        </w:rPr>
      </w:pPr>
      <w:r w:rsidRPr="00492F3B">
        <w:rPr>
          <w:b/>
          <w:lang w:val="en-US"/>
        </w:rPr>
        <w:t>Method</w:t>
      </w:r>
      <w:r w:rsidR="007F5523" w:rsidRPr="00492F3B">
        <w:rPr>
          <w:b/>
          <w:lang w:val="en-US"/>
        </w:rPr>
        <w:t>:</w:t>
      </w:r>
    </w:p>
    <w:p w:rsidR="007F5523" w:rsidRPr="007F5523" w:rsidRDefault="007F5523">
      <w:r>
        <w:t>GSH: 6</w:t>
      </w:r>
      <w:r w:rsidRPr="007F5523">
        <w:t>00 ug/ml in PBS pH 7.4</w:t>
      </w:r>
    </w:p>
    <w:p w:rsidR="007F5523" w:rsidRPr="007F5523" w:rsidRDefault="007F5523">
      <w:pPr>
        <w:rPr>
          <w:lang w:val="en-US"/>
        </w:rPr>
      </w:pPr>
      <w:r w:rsidRPr="007F5523">
        <w:rPr>
          <w:lang w:val="en-US"/>
        </w:rPr>
        <w:t>C13H23Br: 500 ug/ml in CH3CN</w:t>
      </w:r>
    </w:p>
    <w:p w:rsidR="007F5523" w:rsidRDefault="007F5523">
      <w:pPr>
        <w:rPr>
          <w:lang w:val="en-US"/>
        </w:rPr>
      </w:pPr>
      <w:r>
        <w:rPr>
          <w:lang w:val="en-US"/>
        </w:rPr>
        <w:t>Mix 500 ul GSH solution with 5</w:t>
      </w:r>
      <w:r w:rsidR="00554E4C">
        <w:rPr>
          <w:lang w:val="en-US"/>
        </w:rPr>
        <w:t xml:space="preserve">00 ul C13H23Br solution (final molar ratio 1mM </w:t>
      </w:r>
      <w:r>
        <w:rPr>
          <w:lang w:val="en-US"/>
        </w:rPr>
        <w:t>GSH</w:t>
      </w:r>
      <w:r w:rsidR="00554E4C">
        <w:rPr>
          <w:lang w:val="en-US"/>
        </w:rPr>
        <w:t xml:space="preserve"> to 1 mM C13H23Br, final so</w:t>
      </w:r>
      <w:r>
        <w:rPr>
          <w:lang w:val="en-US"/>
        </w:rPr>
        <w:t xml:space="preserve">lvent </w:t>
      </w:r>
      <w:r w:rsidR="00554E4C">
        <w:rPr>
          <w:lang w:val="en-US"/>
        </w:rPr>
        <w:t xml:space="preserve">composition </w:t>
      </w:r>
      <w:r>
        <w:rPr>
          <w:lang w:val="en-US"/>
        </w:rPr>
        <w:t>50% CH3CN in aqueous PBS pH 7.4)</w:t>
      </w:r>
    </w:p>
    <w:p w:rsidR="007F5523" w:rsidRDefault="007F5523">
      <w:pPr>
        <w:rPr>
          <w:lang w:val="en-US"/>
        </w:rPr>
      </w:pPr>
      <w:r>
        <w:rPr>
          <w:lang w:val="en-US"/>
        </w:rPr>
        <w:t>Reaction up to 20 h at room temperature.</w:t>
      </w:r>
    </w:p>
    <w:p w:rsidR="00492F3B" w:rsidRDefault="00492F3B">
      <w:pPr>
        <w:rPr>
          <w:lang w:val="en-US"/>
        </w:rPr>
      </w:pPr>
      <w:r>
        <w:rPr>
          <w:lang w:val="en-US"/>
        </w:rPr>
        <w:t>Dilution of samples 1:10 with 50%</w:t>
      </w:r>
      <w:r w:rsidR="00C42493">
        <w:rPr>
          <w:lang w:val="en-US"/>
        </w:rPr>
        <w:t xml:space="preserve">CH3CN in </w:t>
      </w:r>
      <w:r>
        <w:rPr>
          <w:lang w:val="en-US"/>
        </w:rPr>
        <w:t>PBS pH 7.4Analysis of GSH and GSH adduct with LC-MS, ESI positive, ion traces m/z 308 for GSH and m/z 486 for GSH-C13H23Br adduct.</w:t>
      </w:r>
    </w:p>
    <w:p w:rsidR="00492F3B" w:rsidRDefault="00492F3B" w:rsidP="00492F3B">
      <w:pPr>
        <w:rPr>
          <w:lang w:val="en-US"/>
        </w:rPr>
      </w:pPr>
      <w:r>
        <w:rPr>
          <w:lang w:val="en-US"/>
        </w:rPr>
        <w:t>Blank control: Mix 500 ul GSH solution with 500 ul CH3CN.</w:t>
      </w:r>
    </w:p>
    <w:p w:rsidR="00492F3B" w:rsidRDefault="00492F3B" w:rsidP="00492F3B">
      <w:pPr>
        <w:rPr>
          <w:lang w:val="en-US"/>
        </w:rPr>
      </w:pPr>
      <w:r>
        <w:rPr>
          <w:lang w:val="en-US"/>
        </w:rPr>
        <w:t>The reaction was performed in basic conformity with published methods (Natsch 2008, Gerberick 2007), but with some modifications (e.g. 50% organic solvent instead of 25%).</w:t>
      </w:r>
    </w:p>
    <w:p w:rsidR="00492F3B" w:rsidRPr="00492F3B" w:rsidRDefault="00492F3B" w:rsidP="00492F3B">
      <w:pPr>
        <w:rPr>
          <w:b/>
          <w:lang w:val="en-US"/>
        </w:rPr>
      </w:pPr>
      <w:r w:rsidRPr="00492F3B">
        <w:rPr>
          <w:b/>
          <w:lang w:val="en-US"/>
        </w:rPr>
        <w:t>Results:</w:t>
      </w:r>
    </w:p>
    <w:p w:rsidR="00554E4C" w:rsidRDefault="00FE4C38" w:rsidP="00492F3B">
      <w:pPr>
        <w:rPr>
          <w:lang w:val="en-US"/>
        </w:rPr>
      </w:pPr>
      <w:r>
        <w:rPr>
          <w:lang w:val="en-US"/>
        </w:rPr>
        <w:t>C13H23Br was able to deplete GSH almost complete after reaction at room temperature for 20 h. The reaction product of GSH and C13H23Br was identified by high resolution MS. The amount of adduct raised with reaction time (see diagram below).</w:t>
      </w:r>
    </w:p>
    <w:p w:rsidR="00FE4C38" w:rsidRDefault="00554E4C" w:rsidP="00492F3B">
      <w:pPr>
        <w:rPr>
          <w:lang w:val="en-US"/>
        </w:rPr>
      </w:pPr>
      <w:r>
        <w:rPr>
          <w:noProof/>
          <w:lang w:eastAsia="de-DE"/>
        </w:rPr>
        <w:lastRenderedPageBreak/>
        <w:drawing>
          <wp:inline distT="0" distB="0" distL="0" distR="0">
            <wp:extent cx="4572000" cy="27432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FE4C38">
        <w:rPr>
          <w:lang w:val="en-US"/>
        </w:rPr>
        <w:br/>
        <w:t xml:space="preserve">In the blank control, </w:t>
      </w:r>
      <w:r w:rsidR="000666AB">
        <w:rPr>
          <w:lang w:val="en-US"/>
        </w:rPr>
        <w:t xml:space="preserve">after 20 h </w:t>
      </w:r>
      <w:r w:rsidR="00FE4C38">
        <w:rPr>
          <w:lang w:val="en-US"/>
        </w:rPr>
        <w:t>a GSH depletion of 30% was observed. Obviously, the reaction conditions have to be optimized to avoid GSH autoxidation.</w:t>
      </w:r>
    </w:p>
    <w:p w:rsidR="00492F3B" w:rsidRPr="00492F3B" w:rsidRDefault="00492F3B" w:rsidP="00492F3B">
      <w:pPr>
        <w:rPr>
          <w:b/>
          <w:lang w:val="en-US"/>
        </w:rPr>
      </w:pPr>
      <w:r w:rsidRPr="00492F3B">
        <w:rPr>
          <w:b/>
          <w:lang w:val="en-US"/>
        </w:rPr>
        <w:t>Conclusion:</w:t>
      </w:r>
    </w:p>
    <w:p w:rsidR="000666AB" w:rsidRDefault="000666AB" w:rsidP="00492F3B">
      <w:pPr>
        <w:rPr>
          <w:lang w:val="en-US"/>
        </w:rPr>
      </w:pPr>
      <w:r>
        <w:rPr>
          <w:lang w:val="en-US"/>
        </w:rPr>
        <w:t>It has to be mentioned, that the method used was not in full compliance with the published methods. However, it could be demonstrated, that C13H23Br is able to deplete GSH and to form GSH adducts. Therefore, it seems plausible to classify C13H23Br as sensitizer.</w:t>
      </w:r>
    </w:p>
    <w:p w:rsidR="00554E4C" w:rsidRPr="007F5523" w:rsidRDefault="00ED21DD" w:rsidP="00B434E9">
      <w:pPr>
        <w:rPr>
          <w:lang w:val="en-US"/>
        </w:rPr>
      </w:pPr>
      <w:r>
        <w:rPr>
          <w:lang w:val="en-US"/>
        </w:rPr>
        <w:t>Further investigations</w:t>
      </w:r>
      <w:r w:rsidR="00B434E9">
        <w:rPr>
          <w:lang w:val="en-US"/>
        </w:rPr>
        <w:t xml:space="preserve">(in-vitro assays like </w:t>
      </w:r>
      <w:r w:rsidR="00B434E9" w:rsidRPr="00B434E9">
        <w:rPr>
          <w:lang w:val="en-US"/>
        </w:rPr>
        <w:t>gene exp</w:t>
      </w:r>
      <w:r w:rsidR="00B434E9">
        <w:rPr>
          <w:lang w:val="en-US"/>
        </w:rPr>
        <w:t>ression in keratinocytes (LuSens)or d</w:t>
      </w:r>
      <w:r w:rsidR="00B434E9" w:rsidRPr="00B434E9">
        <w:rPr>
          <w:lang w:val="en-US"/>
        </w:rPr>
        <w:t>endritic cell activity assay</w:t>
      </w:r>
      <w:r w:rsidR="00B434E9">
        <w:rPr>
          <w:lang w:val="en-US"/>
        </w:rPr>
        <w:t>(</w:t>
      </w:r>
      <w:r w:rsidR="00B434E9" w:rsidRPr="00B434E9">
        <w:rPr>
          <w:lang w:val="en-US"/>
        </w:rPr>
        <w:t xml:space="preserve"> h-CLAT</w:t>
      </w:r>
      <w:r w:rsidR="00B434E9">
        <w:rPr>
          <w:lang w:val="en-US"/>
        </w:rPr>
        <w:t xml:space="preserve"> and MUSST) or</w:t>
      </w:r>
      <w:r w:rsidR="00C36D2A">
        <w:rPr>
          <w:lang w:val="en-US"/>
        </w:rPr>
        <w:t xml:space="preserve"> in </w:t>
      </w:r>
      <w:r w:rsidR="00B434E9">
        <w:rPr>
          <w:lang w:val="en-US"/>
        </w:rPr>
        <w:t>vivo assays like</w:t>
      </w:r>
      <w:r w:rsidR="00554E4C">
        <w:rPr>
          <w:lang w:val="en-US"/>
        </w:rPr>
        <w:t xml:space="preserve"> lymph node assay </w:t>
      </w:r>
      <w:r>
        <w:rPr>
          <w:lang w:val="en-US"/>
        </w:rPr>
        <w:t xml:space="preserve">(LLNA) </w:t>
      </w:r>
      <w:r w:rsidR="00554E4C">
        <w:rPr>
          <w:lang w:val="en-US"/>
        </w:rPr>
        <w:t>or Guinea pig maximizing tes</w:t>
      </w:r>
      <w:r>
        <w:rPr>
          <w:lang w:val="en-US"/>
        </w:rPr>
        <w:t>t (GPMT)</w:t>
      </w:r>
      <w:r w:rsidR="00B434E9">
        <w:rPr>
          <w:lang w:val="en-US"/>
        </w:rPr>
        <w:t>)</w:t>
      </w:r>
      <w:r w:rsidR="00C36D2A">
        <w:rPr>
          <w:lang w:val="en-US"/>
        </w:rPr>
        <w:t xml:space="preserve"> should be applied</w:t>
      </w:r>
      <w:r w:rsidR="00554E4C">
        <w:rPr>
          <w:lang w:val="en-US"/>
        </w:rPr>
        <w:t xml:space="preserve"> to confirm or reject </w:t>
      </w:r>
      <w:r w:rsidR="00B434E9">
        <w:rPr>
          <w:lang w:val="en-US"/>
        </w:rPr>
        <w:t xml:space="preserve">this classification. In </w:t>
      </w:r>
      <w:r w:rsidR="00554E4C">
        <w:rPr>
          <w:lang w:val="en-US"/>
        </w:rPr>
        <w:t>extractable and leachable studies, a SCT of 5ug/d has to be applied</w:t>
      </w:r>
      <w:r w:rsidR="00B434E9">
        <w:rPr>
          <w:lang w:val="en-US"/>
        </w:rPr>
        <w:t>for sensitizers</w:t>
      </w:r>
      <w:r w:rsidR="002F3B32">
        <w:rPr>
          <w:lang w:val="en-US"/>
        </w:rPr>
        <w:t>(PQRI 2013</w:t>
      </w:r>
      <w:r w:rsidR="00554E4C">
        <w:rPr>
          <w:lang w:val="en-US"/>
        </w:rPr>
        <w:t>).</w:t>
      </w:r>
      <w:bookmarkStart w:id="0" w:name="_GoBack"/>
      <w:bookmarkEnd w:id="0"/>
    </w:p>
    <w:sectPr w:rsidR="00554E4C" w:rsidRPr="007F5523" w:rsidSect="0030574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7F5523"/>
    <w:rsid w:val="000666AB"/>
    <w:rsid w:val="00247A1C"/>
    <w:rsid w:val="002F3B32"/>
    <w:rsid w:val="0030574B"/>
    <w:rsid w:val="00331E88"/>
    <w:rsid w:val="00372602"/>
    <w:rsid w:val="00492F3B"/>
    <w:rsid w:val="00554E4C"/>
    <w:rsid w:val="005F01D5"/>
    <w:rsid w:val="007F5523"/>
    <w:rsid w:val="008B65B7"/>
    <w:rsid w:val="00B434E9"/>
    <w:rsid w:val="00BB6277"/>
    <w:rsid w:val="00C36D2A"/>
    <w:rsid w:val="00C42493"/>
    <w:rsid w:val="00CD44D5"/>
    <w:rsid w:val="00ED21DD"/>
    <w:rsid w:val="00FE4C3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34E9"/>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D44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st-c-a15\daten\Mitarbeiter\Stratmann\GSH%20deple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tx>
            <c:v>Blank GSH</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Tabelle1!$B$4:$B$7</c:f>
              <c:numCache>
                <c:formatCode>General</c:formatCode>
                <c:ptCount val="4"/>
                <c:pt idx="0">
                  <c:v>0</c:v>
                </c:pt>
                <c:pt idx="1">
                  <c:v>60</c:v>
                </c:pt>
                <c:pt idx="2">
                  <c:v>120</c:v>
                </c:pt>
                <c:pt idx="3">
                  <c:v>1200</c:v>
                </c:pt>
              </c:numCache>
            </c:numRef>
          </c:xVal>
          <c:yVal>
            <c:numRef>
              <c:f>Tabelle1!$C$4:$C$7</c:f>
              <c:numCache>
                <c:formatCode>General</c:formatCode>
                <c:ptCount val="4"/>
                <c:pt idx="0">
                  <c:v>93787018</c:v>
                </c:pt>
                <c:pt idx="1">
                  <c:v>86969109</c:v>
                </c:pt>
                <c:pt idx="2">
                  <c:v>86660594</c:v>
                </c:pt>
                <c:pt idx="3">
                  <c:v>65830966</c:v>
                </c:pt>
              </c:numCache>
            </c:numRef>
          </c:yVal>
          <c:extLst xmlns:c16r2="http://schemas.microsoft.com/office/drawing/2015/06/chart">
            <c:ext xmlns:c16="http://schemas.microsoft.com/office/drawing/2014/chart" uri="{C3380CC4-5D6E-409C-BE32-E72D297353CC}">
              <c16:uniqueId val="{00000000-F9F6-4321-998A-1E9CDBD6CBAA}"/>
            </c:ext>
          </c:extLst>
        </c:ser>
        <c:ser>
          <c:idx val="1"/>
          <c:order val="1"/>
          <c:tx>
            <c:v>Br-C13+GSH</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Tabelle1!$B$4:$B$7</c:f>
              <c:numCache>
                <c:formatCode>General</c:formatCode>
                <c:ptCount val="4"/>
                <c:pt idx="0">
                  <c:v>0</c:v>
                </c:pt>
                <c:pt idx="1">
                  <c:v>60</c:v>
                </c:pt>
                <c:pt idx="2">
                  <c:v>120</c:v>
                </c:pt>
                <c:pt idx="3">
                  <c:v>1200</c:v>
                </c:pt>
              </c:numCache>
            </c:numRef>
          </c:xVal>
          <c:yVal>
            <c:numRef>
              <c:f>Tabelle1!$E$4:$E$7</c:f>
              <c:numCache>
                <c:formatCode>General</c:formatCode>
                <c:ptCount val="4"/>
                <c:pt idx="0">
                  <c:v>92633882</c:v>
                </c:pt>
                <c:pt idx="1">
                  <c:v>86336927</c:v>
                </c:pt>
                <c:pt idx="2">
                  <c:v>81078367</c:v>
                </c:pt>
                <c:pt idx="3">
                  <c:v>3044381</c:v>
                </c:pt>
              </c:numCache>
            </c:numRef>
          </c:yVal>
          <c:extLst xmlns:c16r2="http://schemas.microsoft.com/office/drawing/2015/06/chart">
            <c:ext xmlns:c16="http://schemas.microsoft.com/office/drawing/2014/chart" uri="{C3380CC4-5D6E-409C-BE32-E72D297353CC}">
              <c16:uniqueId val="{00000001-F9F6-4321-998A-1E9CDBD6CBAA}"/>
            </c:ext>
          </c:extLst>
        </c:ser>
        <c:ser>
          <c:idx val="2"/>
          <c:order val="2"/>
          <c:tx>
            <c:v>Adduct</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Tabelle1!$B$4:$B$7</c:f>
              <c:numCache>
                <c:formatCode>General</c:formatCode>
                <c:ptCount val="4"/>
                <c:pt idx="0">
                  <c:v>0</c:v>
                </c:pt>
                <c:pt idx="1">
                  <c:v>60</c:v>
                </c:pt>
                <c:pt idx="2">
                  <c:v>120</c:v>
                </c:pt>
                <c:pt idx="3">
                  <c:v>1200</c:v>
                </c:pt>
              </c:numCache>
            </c:numRef>
          </c:xVal>
          <c:yVal>
            <c:numRef>
              <c:f>Tabelle1!$F$4:$F$7</c:f>
              <c:numCache>
                <c:formatCode>General</c:formatCode>
                <c:ptCount val="4"/>
                <c:pt idx="0">
                  <c:v>1983912</c:v>
                </c:pt>
                <c:pt idx="1">
                  <c:v>7998765</c:v>
                </c:pt>
                <c:pt idx="2">
                  <c:v>16408068</c:v>
                </c:pt>
                <c:pt idx="3">
                  <c:v>100905443</c:v>
                </c:pt>
              </c:numCache>
            </c:numRef>
          </c:yVal>
          <c:extLst xmlns:c16r2="http://schemas.microsoft.com/office/drawing/2015/06/chart">
            <c:ext xmlns:c16="http://schemas.microsoft.com/office/drawing/2014/chart" uri="{C3380CC4-5D6E-409C-BE32-E72D297353CC}">
              <c16:uniqueId val="{00000002-F9F6-4321-998A-1E9CDBD6CBAA}"/>
            </c:ext>
          </c:extLst>
        </c:ser>
        <c:axId val="73294592"/>
        <c:axId val="73296896"/>
      </c:scatterChart>
      <c:valAx>
        <c:axId val="7329459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time</a:t>
                </a:r>
                <a:r>
                  <a:rPr lang="de-DE" baseline="0"/>
                  <a:t> [min]</a:t>
                </a:r>
                <a:endParaRPr lang="de-DE"/>
              </a:p>
            </c:rich>
          </c:tx>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3296896"/>
        <c:crosses val="autoZero"/>
        <c:crossBetween val="midCat"/>
      </c:valAx>
      <c:valAx>
        <c:axId val="7329689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peak area</a:t>
                </a:r>
              </a:p>
            </c:rich>
          </c:tx>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3294592"/>
        <c:crosses val="autoZero"/>
        <c:crossBetween val="midCat"/>
      </c:valAx>
      <c:spPr>
        <a:noFill/>
        <a:ln>
          <a:noFill/>
        </a:ln>
        <a:effectLst/>
      </c:spPr>
    </c:plotArea>
    <c:legend>
      <c:legendPos val="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A&amp;M STABTEST GmbH</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Stratmann</dc:creator>
  <cp:lastModifiedBy>Chemieali</cp:lastModifiedBy>
  <cp:revision>3</cp:revision>
  <dcterms:created xsi:type="dcterms:W3CDTF">2020-11-21T19:10:00Z</dcterms:created>
  <dcterms:modified xsi:type="dcterms:W3CDTF">2020-11-21T19:12:00Z</dcterms:modified>
</cp:coreProperties>
</file>