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3B2" w:rsidRDefault="001C23B2">
      <w:pPr>
        <w:rPr>
          <w:rFonts w:ascii="Times New Roman" w:hAnsi="Times New Roman" w:cs="Times New Roman"/>
        </w:rPr>
      </w:pPr>
      <w:r>
        <w:rPr>
          <w:rFonts w:ascii="Times New Roman" w:hAnsi="Times New Roman" w:cs="Times New Roman"/>
          <w:noProof/>
          <w:lang w:eastAsia="de-DE"/>
        </w:rPr>
        <w:drawing>
          <wp:anchor distT="0" distB="0" distL="114300" distR="114300" simplePos="0" relativeHeight="251658240" behindDoc="0" locked="0" layoutInCell="1" allowOverlap="1">
            <wp:simplePos x="0" y="0"/>
            <wp:positionH relativeFrom="column">
              <wp:posOffset>4105910</wp:posOffset>
            </wp:positionH>
            <wp:positionV relativeFrom="paragraph">
              <wp:posOffset>-825500</wp:posOffset>
            </wp:positionV>
            <wp:extent cx="2432050" cy="1318260"/>
            <wp:effectExtent l="1905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2432050" cy="1318260"/>
                    </a:xfrm>
                    <a:prstGeom prst="rect">
                      <a:avLst/>
                    </a:prstGeom>
                    <a:solidFill>
                      <a:srgbClr val="FFFFFF"/>
                    </a:solidFill>
                    <a:ln w="9525">
                      <a:noFill/>
                      <a:miter lim="800000"/>
                      <a:headEnd/>
                      <a:tailEnd/>
                    </a:ln>
                  </pic:spPr>
                </pic:pic>
              </a:graphicData>
            </a:graphic>
          </wp:anchor>
        </w:drawing>
      </w:r>
    </w:p>
    <w:p w:rsidR="001C23B2" w:rsidRDefault="001C23B2">
      <w:pPr>
        <w:rPr>
          <w:rFonts w:ascii="Times New Roman" w:hAnsi="Times New Roman" w:cs="Times New Roman"/>
        </w:rPr>
      </w:pPr>
    </w:p>
    <w:p w:rsidR="001C23B2" w:rsidRPr="001C23B2" w:rsidRDefault="001C23B2">
      <w:pPr>
        <w:rPr>
          <w:rFonts w:ascii="Times New Roman" w:hAnsi="Times New Roman" w:cs="Times New Roman"/>
          <w:b/>
          <w:sz w:val="32"/>
          <w:szCs w:val="32"/>
        </w:rPr>
      </w:pPr>
      <w:r w:rsidRPr="001C23B2">
        <w:rPr>
          <w:rFonts w:ascii="Times New Roman" w:hAnsi="Times New Roman" w:cs="Times New Roman"/>
          <w:b/>
          <w:sz w:val="32"/>
          <w:szCs w:val="32"/>
        </w:rPr>
        <w:t>GSH screening of vitamin E acetate pyrolysate to identify potential harmful compounds in e-cigarettes/vaping products</w:t>
      </w:r>
    </w:p>
    <w:p w:rsidR="001C23B2" w:rsidRDefault="001C23B2">
      <w:pPr>
        <w:rPr>
          <w:rFonts w:ascii="Times New Roman" w:hAnsi="Times New Roman" w:cs="Times New Roman"/>
          <w:sz w:val="24"/>
          <w:szCs w:val="24"/>
        </w:rPr>
      </w:pPr>
      <w:r w:rsidRPr="001C23B2">
        <w:rPr>
          <w:rFonts w:ascii="Times New Roman" w:hAnsi="Times New Roman" w:cs="Times New Roman"/>
          <w:sz w:val="24"/>
          <w:szCs w:val="24"/>
        </w:rPr>
        <w:t xml:space="preserve">There are increasing reports of pulmonary injury (product use-associated lung injury, EVALI) related to vapor products. In most of the BALF (Bronchoalveolar Lavage Fluid) samples from EVALI patients, vitamin E acetate (VitEac) was found [1]. Wu and O'Shea [2] described a possible mode of action for the toxicity of VitEac. Ketene, a highly toxic compound, was identified </w:t>
      </w:r>
      <w:r>
        <w:rPr>
          <w:rFonts w:ascii="Times New Roman" w:hAnsi="Times New Roman" w:cs="Times New Roman"/>
          <w:sz w:val="24"/>
          <w:szCs w:val="24"/>
        </w:rPr>
        <w:t>as pyrolysis product of VitEac.</w:t>
      </w:r>
    </w:p>
    <w:p w:rsidR="001C23B2" w:rsidRDefault="001C23B2">
      <w:pPr>
        <w:rPr>
          <w:rFonts w:ascii="Times New Roman" w:hAnsi="Times New Roman" w:cs="Times New Roman"/>
          <w:sz w:val="24"/>
          <w:szCs w:val="24"/>
        </w:rPr>
      </w:pPr>
      <w:r w:rsidRPr="001C23B2">
        <w:rPr>
          <w:rFonts w:ascii="Times New Roman" w:hAnsi="Times New Roman" w:cs="Times New Roman"/>
          <w:sz w:val="24"/>
          <w:szCs w:val="24"/>
        </w:rPr>
        <w:t>GSH screening is frequently applied, e.g. in metabolism research or in the cosmetic industry [3, 4], to detect electrophilic compounds, which are able to covalently bind to proteins. GSH is present in high concentrations in lung lining fluid. Once the GSH is depleted, electrophilic compounds bind to proteins and may disrupt their fun</w:t>
      </w:r>
      <w:r>
        <w:rPr>
          <w:rFonts w:ascii="Times New Roman" w:hAnsi="Times New Roman" w:cs="Times New Roman"/>
          <w:sz w:val="24"/>
          <w:szCs w:val="24"/>
        </w:rPr>
        <w:t>ction and lead to diseases [5].</w:t>
      </w:r>
    </w:p>
    <w:p w:rsidR="001C23B2" w:rsidRDefault="001C23B2">
      <w:pPr>
        <w:rPr>
          <w:rFonts w:ascii="Times New Roman" w:hAnsi="Times New Roman" w:cs="Times New Roman"/>
          <w:sz w:val="24"/>
          <w:szCs w:val="24"/>
        </w:rPr>
      </w:pPr>
      <w:r w:rsidRPr="001C23B2">
        <w:rPr>
          <w:rFonts w:ascii="Times New Roman" w:hAnsi="Times New Roman" w:cs="Times New Roman"/>
          <w:sz w:val="24"/>
          <w:szCs w:val="24"/>
        </w:rPr>
        <w:t>Within this project, reaction products of GSH with VitEac pyrolysate were identified using high resolution LC-MS. S-Acetyl-GSH, the reaction product of GSH with ketene, was found as major product. Another GSH-adduct was identified as reaction pr</w:t>
      </w:r>
      <w:r>
        <w:rPr>
          <w:rFonts w:ascii="Times New Roman" w:hAnsi="Times New Roman" w:cs="Times New Roman"/>
          <w:sz w:val="24"/>
          <w:szCs w:val="24"/>
        </w:rPr>
        <w:t>oduct of trimethylbenzoquinone.</w:t>
      </w:r>
    </w:p>
    <w:p w:rsidR="001C23B2" w:rsidRDefault="001C23B2">
      <w:pPr>
        <w:rPr>
          <w:rFonts w:ascii="Times New Roman" w:hAnsi="Times New Roman" w:cs="Times New Roman"/>
          <w:sz w:val="24"/>
          <w:szCs w:val="24"/>
        </w:rPr>
      </w:pPr>
      <w:r w:rsidRPr="001C23B2">
        <w:rPr>
          <w:rFonts w:ascii="Times New Roman" w:hAnsi="Times New Roman" w:cs="Times New Roman"/>
          <w:sz w:val="24"/>
          <w:szCs w:val="24"/>
        </w:rPr>
        <w:t xml:space="preserve">These GSH-adducts in BALF may serve as biomarker of exposure to potential toxic compounds in vapor of VitEac containing liquids. GSH adducts usually undergo degradation by the mercapturic acid pathway [6]. As an alternative to the determination of GSH-adducts in BALF, the corresponding mercapturic acids in urine samples may seve as biomarker. </w:t>
      </w:r>
    </w:p>
    <w:p w:rsidR="001C23B2" w:rsidRPr="001C23B2" w:rsidRDefault="001C23B2">
      <w:pPr>
        <w:rPr>
          <w:rFonts w:ascii="Times New Roman" w:hAnsi="Times New Roman" w:cs="Times New Roman"/>
          <w:sz w:val="20"/>
          <w:szCs w:val="20"/>
        </w:rPr>
      </w:pPr>
      <w:r w:rsidRPr="001C23B2">
        <w:rPr>
          <w:rFonts w:ascii="Times New Roman" w:hAnsi="Times New Roman" w:cs="Times New Roman"/>
          <w:sz w:val="20"/>
          <w:szCs w:val="20"/>
        </w:rPr>
        <w:t xml:space="preserve">[1] DOI: 10.1056/NEJMoa1916433 </w:t>
      </w:r>
      <w:r w:rsidRPr="001C23B2">
        <w:rPr>
          <w:rFonts w:ascii="Times New Roman" w:hAnsi="Times New Roman" w:cs="Times New Roman"/>
          <w:sz w:val="20"/>
          <w:szCs w:val="20"/>
        </w:rPr>
        <w:br/>
        <w:t xml:space="preserve">[2] DOI: 10.26434/chemrxiv.10058168 </w:t>
      </w:r>
      <w:r w:rsidRPr="001C23B2">
        <w:rPr>
          <w:rFonts w:ascii="Times New Roman" w:hAnsi="Times New Roman" w:cs="Times New Roman"/>
          <w:sz w:val="20"/>
          <w:szCs w:val="20"/>
        </w:rPr>
        <w:br/>
        <w:t xml:space="preserve">[3] DOI: 10.1021/tx600277y [4] DOI:10.1016/j.tiv.2005.07.003 </w:t>
      </w:r>
      <w:r w:rsidRPr="001C23B2">
        <w:rPr>
          <w:rFonts w:ascii="Times New Roman" w:hAnsi="Times New Roman" w:cs="Times New Roman"/>
          <w:sz w:val="20"/>
          <w:szCs w:val="20"/>
        </w:rPr>
        <w:br/>
        <w:t>[5] doi: 10.2147/IJGM.S15618 [6] doi: 10.3109/1354750X.2016.1141988</w:t>
      </w:r>
    </w:p>
    <w:sectPr w:rsidR="001C23B2" w:rsidRPr="001C23B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1C23B2"/>
    <w:rsid w:val="001C23B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C23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1480</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Chemieali</dc:creator>
  <cp:lastModifiedBy>Chemieali</cp:lastModifiedBy>
  <cp:revision>1</cp:revision>
  <dcterms:created xsi:type="dcterms:W3CDTF">2020-11-21T19:41:00Z</dcterms:created>
  <dcterms:modified xsi:type="dcterms:W3CDTF">2020-11-21T19:44:00Z</dcterms:modified>
</cp:coreProperties>
</file>